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92" w:rsidRDefault="00C55BD3">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Consumer Confidence Report</w:t>
      </w:r>
    </w:p>
    <w:p w:rsidR="00005992" w:rsidRDefault="00C55BD3">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Merrimack Village District</w:t>
      </w:r>
    </w:p>
    <w:p w:rsidR="00005992" w:rsidRDefault="00C55BD3">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p>
    <w:p w:rsidR="00005992" w:rsidRPr="009E3471" w:rsidRDefault="00C55BD3">
      <w:pPr>
        <w:rPr>
          <w:b/>
          <w:bCs/>
        </w:rPr>
      </w:pPr>
      <w:r w:rsidRPr="009E3471">
        <w:rPr>
          <w:b/>
          <w:bCs/>
        </w:rPr>
        <w:t>What is a Consumer Confidence Report?</w:t>
      </w:r>
    </w:p>
    <w:p w:rsidR="00005992" w:rsidRPr="009E3471" w:rsidRDefault="009E3471">
      <w:r w:rsidRPr="009E3471">
        <w:rPr>
          <w:noProof/>
        </w:rPr>
        <w:drawing>
          <wp:anchor distT="0" distB="0" distL="0" distR="0" simplePos="0" relativeHeight="251659264" behindDoc="0" locked="0" layoutInCell="1" allowOverlap="0" wp14:anchorId="566503C4" wp14:editId="7C4E5A3B">
            <wp:simplePos x="0" y="0"/>
            <wp:positionH relativeFrom="margin">
              <wp:posOffset>4806315</wp:posOffset>
            </wp:positionH>
            <wp:positionV relativeFrom="paragraph">
              <wp:posOffset>608330</wp:posOffset>
            </wp:positionV>
            <wp:extent cx="1356360" cy="1608455"/>
            <wp:effectExtent l="0" t="0" r="0" b="0"/>
            <wp:wrapSquare wrapText="bothSides"/>
            <wp:docPr id="2" name="Picture 2" descr="psa_waterglass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_waterglass_example"/>
                    <pic:cNvPicPr>
                      <a:picLocks noChangeAspect="1" noChangeArrowheads="1"/>
                    </pic:cNvPicPr>
                  </pic:nvPicPr>
                  <pic:blipFill>
                    <a:blip r:embed="rId6">
                      <a:extLst>
                        <a:ext uri="{28A0092B-C50C-407E-A947-70E740481C1C}">
                          <a14:useLocalDpi xmlns:a14="http://schemas.microsoft.com/office/drawing/2010/main" val="0"/>
                        </a:ext>
                      </a:extLst>
                    </a:blip>
                    <a:srcRect r="10800"/>
                    <a:stretch>
                      <a:fillRect/>
                    </a:stretch>
                  </pic:blipFill>
                  <pic:spPr bwMode="auto">
                    <a:xfrm>
                      <a:off x="0" y="0"/>
                      <a:ext cx="1356360" cy="1608455"/>
                    </a:xfrm>
                    <a:prstGeom prst="rect">
                      <a:avLst/>
                    </a:prstGeom>
                    <a:noFill/>
                  </pic:spPr>
                </pic:pic>
              </a:graphicData>
            </a:graphic>
            <wp14:sizeRelH relativeFrom="page">
              <wp14:pctWidth>0</wp14:pctWidth>
            </wp14:sizeRelH>
            <wp14:sizeRelV relativeFrom="page">
              <wp14:pctHeight>0</wp14:pctHeight>
            </wp14:sizeRelV>
          </wp:anchor>
        </w:drawing>
      </w:r>
      <w:r w:rsidR="00C55BD3" w:rsidRPr="009E3471">
        <w:t xml:space="preserve">The Consumer Confidence Report (CCR) details the quality of your drinking water, where it comes from, and where you can get more information. This annual report documents all detected primary and secondary drinking water parameters, and compares them to their respective standards known as Maximum Contaminant Levels (MCLs). </w:t>
      </w:r>
    </w:p>
    <w:p w:rsidR="00005992" w:rsidRPr="009E3471" w:rsidRDefault="00005992">
      <w:pPr>
        <w:spacing w:after="120"/>
        <w:rPr>
          <w:b/>
          <w:bCs/>
        </w:rPr>
      </w:pPr>
    </w:p>
    <w:p w:rsidR="00005992" w:rsidRPr="009E3471" w:rsidRDefault="00C55BD3">
      <w:pPr>
        <w:spacing w:after="120"/>
      </w:pPr>
      <w:r w:rsidRPr="009E3471">
        <w:rPr>
          <w:b/>
          <w:bCs/>
        </w:rPr>
        <w:t>The sources of drinking water</w:t>
      </w:r>
      <w:r w:rsidRPr="009E3471">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rsidR="00005992" w:rsidRPr="009E3471" w:rsidRDefault="00C55BD3">
      <w:pPr>
        <w:spacing w:after="120"/>
        <w:jc w:val="both"/>
      </w:pPr>
      <w:r w:rsidRPr="009E3471">
        <w:rPr>
          <w:b/>
          <w:bCs/>
        </w:rPr>
        <w:t>Contaminants that may be present</w:t>
      </w:r>
      <w:r w:rsidRPr="009E3471">
        <w:t xml:space="preserve"> in source water include:</w:t>
      </w:r>
    </w:p>
    <w:p w:rsidR="00005992" w:rsidRPr="009E3471" w:rsidRDefault="00C55BD3" w:rsidP="008070AF">
      <w:pPr>
        <w:spacing w:after="120"/>
        <w:ind w:left="720"/>
        <w:jc w:val="both"/>
      </w:pPr>
      <w:r w:rsidRPr="009E3471">
        <w:rPr>
          <w:b/>
          <w:bCs/>
        </w:rPr>
        <w:t>Microbial contaminants</w:t>
      </w:r>
      <w:r w:rsidRPr="009E3471">
        <w:t>, such as viruses and bacteria, which may come from sewage treatment plants, septic systems, agricultural livestock operations, and wildlife.</w:t>
      </w:r>
    </w:p>
    <w:p w:rsidR="00005992" w:rsidRPr="009E3471" w:rsidRDefault="00C55BD3" w:rsidP="008070AF">
      <w:pPr>
        <w:spacing w:after="120"/>
        <w:ind w:left="720"/>
        <w:jc w:val="both"/>
      </w:pPr>
      <w:r w:rsidRPr="009E3471">
        <w:rPr>
          <w:b/>
          <w:bCs/>
        </w:rPr>
        <w:t>Inorganic contaminants</w:t>
      </w:r>
      <w:r w:rsidRPr="009E3471">
        <w:t>, such as salts and metals, which can be naturally occurring or result from urban storm water runoff, industrial or domestic wastewater discharges, oil and gas production, mining or farming.</w:t>
      </w:r>
    </w:p>
    <w:p w:rsidR="00005992" w:rsidRPr="009E3471" w:rsidRDefault="00C55BD3" w:rsidP="008070AF">
      <w:pPr>
        <w:spacing w:after="120"/>
        <w:ind w:left="720"/>
        <w:jc w:val="both"/>
      </w:pPr>
      <w:r w:rsidRPr="009E3471">
        <w:rPr>
          <w:b/>
          <w:bCs/>
        </w:rPr>
        <w:t>Pesticides and herbicides</w:t>
      </w:r>
      <w:r w:rsidRPr="009E3471">
        <w:t xml:space="preserve">, which may come from a variety of sources such as agriculture, urban </w:t>
      </w:r>
      <w:proofErr w:type="spellStart"/>
      <w:r w:rsidRPr="009E3471">
        <w:t>stormwater</w:t>
      </w:r>
      <w:proofErr w:type="spellEnd"/>
      <w:r w:rsidRPr="009E3471">
        <w:t xml:space="preserve"> runoff, and residential uses.</w:t>
      </w:r>
    </w:p>
    <w:p w:rsidR="00005992" w:rsidRPr="009E3471" w:rsidRDefault="00C55BD3" w:rsidP="008070AF">
      <w:pPr>
        <w:spacing w:after="120"/>
        <w:ind w:left="720"/>
        <w:jc w:val="both"/>
      </w:pPr>
      <w:r w:rsidRPr="009E3471">
        <w:rPr>
          <w:b/>
          <w:bCs/>
        </w:rPr>
        <w:t>Organic chemical contaminants</w:t>
      </w:r>
      <w:r w:rsidRPr="009E3471">
        <w:t>, including synthetic and volatile organic chemicals, which are by-products of industrial processes and petroleum production, and can also come from gas stations, urban storm water runoff, and septic systems.</w:t>
      </w:r>
    </w:p>
    <w:p w:rsidR="00005992" w:rsidRPr="009E3471" w:rsidRDefault="00C55BD3" w:rsidP="008070AF">
      <w:pPr>
        <w:spacing w:after="120"/>
        <w:ind w:left="720"/>
        <w:jc w:val="both"/>
      </w:pPr>
      <w:r w:rsidRPr="009E3471">
        <w:rPr>
          <w:b/>
          <w:bCs/>
        </w:rPr>
        <w:t>Radioactive contaminants</w:t>
      </w:r>
      <w:r w:rsidRPr="009E3471">
        <w:t xml:space="preserve">, which can be naturally-occurring or be the result of oil and </w:t>
      </w:r>
      <w:bookmarkStart w:id="0" w:name="_GoBack"/>
      <w:bookmarkEnd w:id="0"/>
      <w:r w:rsidRPr="009E3471">
        <w:t>gas production and mining activities.</w:t>
      </w:r>
    </w:p>
    <w:p w:rsidR="00005992" w:rsidRPr="009E3471" w:rsidRDefault="00C55BD3">
      <w:pPr>
        <w:spacing w:after="120"/>
        <w:jc w:val="both"/>
      </w:pPr>
      <w:r w:rsidRPr="009E3471">
        <w:rPr>
          <w:b/>
          <w:bCs/>
        </w:rPr>
        <w:t>In order to ensure that tap water is safe to drink</w:t>
      </w:r>
      <w:r w:rsidRPr="009E3471">
        <w:t xml:space="preserve">, EPA prescribes regulations which limit the amount of certain contaminants in water provided by public water systems.  The US Food and Drug Administration (FDA) regulations establish limits for contaminants in bottled water which must provide the same protection for public health. </w:t>
      </w:r>
    </w:p>
    <w:p w:rsidR="00005992" w:rsidRPr="009E3471" w:rsidRDefault="00C55BD3">
      <w:pPr>
        <w:spacing w:after="120"/>
        <w:jc w:val="both"/>
        <w:rPr>
          <w:b/>
          <w:bCs/>
        </w:rPr>
      </w:pPr>
      <w:r w:rsidRPr="009E3471">
        <w:rPr>
          <w:b/>
          <w:bCs/>
        </w:rPr>
        <w:t>What is the source of my drinking water?</w:t>
      </w:r>
    </w:p>
    <w:p w:rsidR="00005992" w:rsidRPr="009E3471" w:rsidRDefault="00C55BD3">
      <w:pPr>
        <w:jc w:val="both"/>
      </w:pPr>
      <w:r w:rsidRPr="009E3471">
        <w:t xml:space="preserve">The District is supplied by 6 “ground water” wells known locally as Wells 2, 3, 4, 5, 7 and 8.  Water is treated as required at the pumping stations prior to being released into the District network.  The source assessment done in 2002 indicates that our wells are rated overall in LOW vulnerability to the susceptible criteria used.  Four (4) wells were rated low, the other two (2) wells were rated in the medium range.  The </w:t>
      </w:r>
      <w:proofErr w:type="gramStart"/>
      <w:r w:rsidRPr="009E3471">
        <w:t>4 page</w:t>
      </w:r>
      <w:proofErr w:type="gramEnd"/>
      <w:r w:rsidRPr="009E3471">
        <w:t xml:space="preserve"> completed report can be obtained from the NHDES website at:</w:t>
      </w:r>
    </w:p>
    <w:p w:rsidR="00005992" w:rsidRPr="009E3471" w:rsidRDefault="008070AF">
      <w:pPr>
        <w:pStyle w:val="Subtitle"/>
        <w:jc w:val="both"/>
        <w:rPr>
          <w:b w:val="0"/>
          <w:bCs w:val="0"/>
        </w:rPr>
      </w:pPr>
      <w:hyperlink r:id="rId7" w:history="1">
        <w:r w:rsidR="00C55BD3" w:rsidRPr="009E3471">
          <w:rPr>
            <w:rStyle w:val="Hyperlink"/>
            <w:rFonts w:eastAsiaTheme="majorEastAsia"/>
            <w:color w:val="auto"/>
          </w:rPr>
          <w:t>http://des.nh.gov/organization/divisions/water/dwgb/dwspp/reports/documents/merrimack.pdf</w:t>
        </w:r>
      </w:hyperlink>
    </w:p>
    <w:p w:rsidR="00005992" w:rsidRPr="009E3471" w:rsidRDefault="00005992">
      <w:pPr>
        <w:pStyle w:val="Subtitle"/>
        <w:jc w:val="both"/>
        <w:rPr>
          <w:b w:val="0"/>
          <w:bCs w:val="0"/>
        </w:rPr>
      </w:pPr>
    </w:p>
    <w:p w:rsidR="00005992" w:rsidRPr="009E3471" w:rsidRDefault="00C55BD3">
      <w:pPr>
        <w:spacing w:after="120"/>
        <w:jc w:val="both"/>
        <w:rPr>
          <w:b/>
          <w:bCs/>
        </w:rPr>
      </w:pPr>
      <w:r w:rsidRPr="009E3471">
        <w:rPr>
          <w:b/>
          <w:bCs/>
        </w:rPr>
        <w:t>Why are contaminants in my water?</w:t>
      </w:r>
      <w:r w:rsidRPr="009E3471">
        <w:t xml:space="preserve">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r w:rsidRPr="009E3471">
        <w:rPr>
          <w:b/>
          <w:bCs/>
        </w:rPr>
        <w:t xml:space="preserve"> </w:t>
      </w:r>
    </w:p>
    <w:p w:rsidR="00005992" w:rsidRPr="009E3471" w:rsidRDefault="00C55BD3">
      <w:pPr>
        <w:spacing w:after="120"/>
        <w:jc w:val="both"/>
      </w:pPr>
      <w:r w:rsidRPr="009E3471">
        <w:rPr>
          <w:b/>
          <w:bCs/>
        </w:rPr>
        <w:t xml:space="preserve">Do I need to take special precautions? </w:t>
      </w:r>
      <w:r w:rsidRPr="009E3471">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9E3471">
        <w:rPr>
          <w:i/>
          <w:iCs/>
        </w:rPr>
        <w:t>Cryptosporidium</w:t>
      </w:r>
      <w:r w:rsidRPr="009E3471">
        <w:t xml:space="preserve"> and other microbial contaminants are available from the Safe Drinking Water Hotline at 1-800-426-4791.</w:t>
      </w:r>
    </w:p>
    <w:p w:rsidR="00005992" w:rsidRPr="009E3471" w:rsidRDefault="00C55BD3">
      <w:pPr>
        <w:jc w:val="both"/>
        <w:rPr>
          <w:b/>
          <w:bCs/>
        </w:rPr>
      </w:pPr>
      <w:r w:rsidRPr="009E3471">
        <w:rPr>
          <w:b/>
          <w:bCs/>
        </w:rPr>
        <w:t>Source Water Assessment Summary</w:t>
      </w:r>
    </w:p>
    <w:p w:rsidR="00005992" w:rsidRPr="009E3471" w:rsidRDefault="00C55BD3" w:rsidP="008070AF">
      <w:pPr>
        <w:autoSpaceDE w:val="0"/>
        <w:autoSpaceDN w:val="0"/>
        <w:adjustRightInd w:val="0"/>
        <w:jc w:val="both"/>
      </w:pPr>
      <w:r w:rsidRPr="009E3471">
        <w:t xml:space="preserve">The results of the assessment, prepared for Well 7 in 2000 and the remainder of the wells in 2002 are noted below.  </w:t>
      </w:r>
    </w:p>
    <w:p w:rsidR="00005992" w:rsidRPr="009E3471" w:rsidRDefault="0000599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82"/>
        <w:gridCol w:w="1182"/>
        <w:gridCol w:w="1182"/>
      </w:tblGrid>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tcPr>
          <w:p w:rsidR="00005992" w:rsidRPr="009E3471" w:rsidRDefault="00005992">
            <w:pPr>
              <w:jc w:val="both"/>
            </w:pPr>
          </w:p>
        </w:tc>
        <w:tc>
          <w:tcPr>
            <w:tcW w:w="3546" w:type="dxa"/>
            <w:gridSpan w:val="3"/>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Susceptibility Rating</w:t>
            </w:r>
          </w:p>
        </w:tc>
      </w:tr>
      <w:tr w:rsidR="00005992" w:rsidRPr="009E3471" w:rsidTr="008070AF">
        <w:trPr>
          <w:jc w:val="center"/>
        </w:trPr>
        <w:tc>
          <w:tcPr>
            <w:tcW w:w="11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05992" w:rsidRPr="009E3471" w:rsidRDefault="00C55BD3">
            <w:pPr>
              <w:jc w:val="both"/>
            </w:pPr>
            <w:r w:rsidRPr="009E3471">
              <w:t>Well #</w:t>
            </w:r>
          </w:p>
        </w:tc>
        <w:tc>
          <w:tcPr>
            <w:tcW w:w="11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05992" w:rsidRPr="009E3471" w:rsidRDefault="00C55BD3">
            <w:pPr>
              <w:jc w:val="both"/>
            </w:pPr>
            <w:r w:rsidRPr="009E3471">
              <w:t>High</w:t>
            </w:r>
          </w:p>
        </w:tc>
        <w:tc>
          <w:tcPr>
            <w:tcW w:w="11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05992" w:rsidRPr="009E3471" w:rsidRDefault="00C55BD3">
            <w:pPr>
              <w:jc w:val="both"/>
            </w:pPr>
            <w:r w:rsidRPr="009E3471">
              <w:t>Medium</w:t>
            </w:r>
          </w:p>
        </w:tc>
        <w:tc>
          <w:tcPr>
            <w:tcW w:w="11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05992" w:rsidRPr="009E3471" w:rsidRDefault="00C55BD3">
            <w:pPr>
              <w:jc w:val="both"/>
            </w:pPr>
            <w:r w:rsidRPr="009E3471">
              <w:t>Low</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1</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1</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2</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9</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2</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1</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2</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9</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3</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1</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2</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9</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4</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3</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4</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5</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5</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4</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3</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5</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7</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1</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2</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9</w:t>
            </w:r>
          </w:p>
        </w:tc>
      </w:tr>
      <w:tr w:rsidR="00005992" w:rsidRPr="009E3471">
        <w:trPr>
          <w:jc w:val="center"/>
        </w:trPr>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8</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1</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2</w:t>
            </w:r>
          </w:p>
        </w:tc>
        <w:tc>
          <w:tcPr>
            <w:tcW w:w="1182" w:type="dxa"/>
            <w:tcBorders>
              <w:top w:val="single" w:sz="4" w:space="0" w:color="auto"/>
              <w:left w:val="single" w:sz="4" w:space="0" w:color="auto"/>
              <w:bottom w:val="single" w:sz="4" w:space="0" w:color="auto"/>
              <w:right w:val="single" w:sz="4" w:space="0" w:color="auto"/>
            </w:tcBorders>
            <w:hideMark/>
          </w:tcPr>
          <w:p w:rsidR="00005992" w:rsidRPr="009E3471" w:rsidRDefault="00C55BD3">
            <w:pPr>
              <w:jc w:val="both"/>
            </w:pPr>
            <w:r w:rsidRPr="009E3471">
              <w:t>9</w:t>
            </w:r>
          </w:p>
        </w:tc>
      </w:tr>
    </w:tbl>
    <w:p w:rsidR="00005992" w:rsidRPr="009E3471" w:rsidRDefault="00005992">
      <w:pPr>
        <w:jc w:val="both"/>
      </w:pPr>
    </w:p>
    <w:p w:rsidR="00005992" w:rsidRPr="009E3471" w:rsidRDefault="00C55BD3">
      <w:pPr>
        <w:autoSpaceDE w:val="0"/>
        <w:autoSpaceDN w:val="0"/>
        <w:adjustRightInd w:val="0"/>
        <w:jc w:val="both"/>
      </w:pPr>
      <w:r w:rsidRPr="009E3471">
        <w:t>Note:  This information is over 10 years old and includes information that was current at the time the report was completed.  Therefore, some of the ratings might be different if updated to reflect current information.  At the present time, DES has no plans to update this data.</w:t>
      </w:r>
    </w:p>
    <w:p w:rsidR="00005992" w:rsidRPr="009E3471" w:rsidRDefault="00005992">
      <w:pPr>
        <w:jc w:val="both"/>
      </w:pPr>
    </w:p>
    <w:p w:rsidR="00005992" w:rsidRPr="009E3471" w:rsidRDefault="00C55BD3">
      <w:pPr>
        <w:jc w:val="both"/>
      </w:pPr>
      <w:r w:rsidRPr="009E3471">
        <w:t>The complete Assessment Report is available for review at MVD, 2 Greens Pond Road, Merrimack, NH.   For more information, call</w:t>
      </w:r>
      <w:r w:rsidRPr="009E3471">
        <w:rPr>
          <w:b/>
          <w:bCs/>
        </w:rPr>
        <w:t xml:space="preserve"> </w:t>
      </w:r>
      <w:r w:rsidRPr="009E3471">
        <w:t>Ronald Miner, Jr, Superintendent</w:t>
      </w:r>
      <w:r w:rsidRPr="009E3471">
        <w:rPr>
          <w:i/>
          <w:iCs/>
        </w:rPr>
        <w:t xml:space="preserve"> </w:t>
      </w:r>
      <w:r w:rsidRPr="009E3471">
        <w:t xml:space="preserve">at (603) 424-9241 x107 or visit the DES Drinking Water Source Assessment website at </w:t>
      </w:r>
      <w:hyperlink r:id="rId8" w:history="1">
        <w:r w:rsidRPr="009E3471">
          <w:rPr>
            <w:rStyle w:val="Hyperlink"/>
            <w:color w:val="auto"/>
          </w:rPr>
          <w:t>http://des.nh.gov/organization/divisions/water/dwgb/dwspp/dwsap.htm</w:t>
        </w:r>
      </w:hyperlink>
      <w:r w:rsidRPr="009E3471">
        <w:t>.</w:t>
      </w:r>
    </w:p>
    <w:p w:rsidR="009E3471" w:rsidRDefault="009E3471">
      <w:pPr>
        <w:spacing w:after="120"/>
        <w:jc w:val="both"/>
        <w:rPr>
          <w:b/>
          <w:bCs/>
        </w:rPr>
      </w:pPr>
    </w:p>
    <w:p w:rsidR="00005992" w:rsidRPr="009E3471" w:rsidRDefault="00C55BD3">
      <w:pPr>
        <w:spacing w:after="120"/>
        <w:jc w:val="both"/>
        <w:rPr>
          <w:b/>
          <w:bCs/>
        </w:rPr>
      </w:pPr>
      <w:r w:rsidRPr="009E3471">
        <w:rPr>
          <w:b/>
          <w:bCs/>
        </w:rPr>
        <w:lastRenderedPageBreak/>
        <w:t>How can I get involved?</w:t>
      </w:r>
    </w:p>
    <w:p w:rsidR="00005992" w:rsidRPr="009E3471" w:rsidRDefault="00C55BD3">
      <w:pPr>
        <w:autoSpaceDE w:val="0"/>
        <w:autoSpaceDN w:val="0"/>
        <w:adjustRightInd w:val="0"/>
        <w:spacing w:after="120"/>
        <w:jc w:val="both"/>
      </w:pPr>
      <w:r w:rsidRPr="009E3471">
        <w:t xml:space="preserve">For more information about your drinking water, please call Jill Lavoie, Water Quality Testing at (603) 424-9241 x103 (email </w:t>
      </w:r>
      <w:hyperlink r:id="rId9" w:history="1">
        <w:r w:rsidRPr="009E3471">
          <w:rPr>
            <w:rStyle w:val="Hyperlink"/>
            <w:color w:val="auto"/>
          </w:rPr>
          <w:t>jill.lavoie@mvdwater.org</w:t>
        </w:r>
      </w:hyperlink>
      <w:r w:rsidRPr="009E3471">
        <w:t xml:space="preserve">) or Superintendent Ronald Miner, Jr. at (603) 424-9241 x107 (email </w:t>
      </w:r>
      <w:hyperlink r:id="rId10" w:history="1">
        <w:r w:rsidRPr="009E3471">
          <w:rPr>
            <w:rStyle w:val="Hyperlink"/>
            <w:color w:val="auto"/>
          </w:rPr>
          <w:t>ron.miner@mvdwater.org</w:t>
        </w:r>
      </w:hyperlink>
      <w:r w:rsidRPr="009E3471">
        <w:t>).</w:t>
      </w:r>
    </w:p>
    <w:p w:rsidR="00005992" w:rsidRPr="009E3471" w:rsidRDefault="00C55BD3">
      <w:pPr>
        <w:autoSpaceDE w:val="0"/>
        <w:autoSpaceDN w:val="0"/>
        <w:adjustRightInd w:val="0"/>
        <w:spacing w:after="120"/>
        <w:jc w:val="both"/>
      </w:pPr>
      <w:r w:rsidRPr="009E3471">
        <w:t>The MVD Board of Commissioners meets the 3</w:t>
      </w:r>
      <w:r w:rsidRPr="009E3471">
        <w:rPr>
          <w:vertAlign w:val="superscript"/>
        </w:rPr>
        <w:t>rd</w:t>
      </w:r>
      <w:r w:rsidRPr="009E3471">
        <w:t xml:space="preserve"> Monday of each month except holidays. You may submit questions in writing to the MVD by sending them to 2 Greens Pond Road, Merrimack, NH 03054.</w:t>
      </w:r>
    </w:p>
    <w:p w:rsidR="00005992" w:rsidRPr="009E3471" w:rsidRDefault="00C55BD3">
      <w:pPr>
        <w:spacing w:after="120"/>
        <w:jc w:val="both"/>
        <w:rPr>
          <w:b/>
          <w:bCs/>
        </w:rPr>
      </w:pPr>
      <w:r w:rsidRPr="009E3471">
        <w:rPr>
          <w:b/>
          <w:bCs/>
        </w:rPr>
        <w:t>Violations</w:t>
      </w:r>
      <w:r w:rsidRPr="009E3471">
        <w:t xml:space="preserve"> None.</w:t>
      </w:r>
    </w:p>
    <w:p w:rsidR="00005992" w:rsidRPr="009E3471" w:rsidRDefault="00C55BD3">
      <w:pPr>
        <w:pStyle w:val="Heading3"/>
        <w:rPr>
          <w:rFonts w:eastAsia="Times New Roman"/>
        </w:rPr>
      </w:pPr>
      <w:r w:rsidRPr="009E3471">
        <w:rPr>
          <w:rFonts w:eastAsia="Times New Roman"/>
        </w:rPr>
        <w:t>Water Quality Data Table</w:t>
      </w:r>
    </w:p>
    <w:p w:rsidR="00005992" w:rsidRPr="009E3471" w:rsidRDefault="00C55BD3" w:rsidP="009E3471">
      <w:pPr>
        <w:pStyle w:val="NormalWeb"/>
        <w:jc w:val="both"/>
      </w:pPr>
      <w:r w:rsidRPr="009E3471">
        <w:t xml:space="preserve">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w:t>
      </w:r>
      <w:proofErr w:type="gramStart"/>
      <w:r w:rsidRPr="009E3471">
        <w:t>one year old</w:t>
      </w:r>
      <w:proofErr w:type="gramEnd"/>
      <w:r w:rsidRPr="009E3471">
        <w:t>. In this table you will find terms and abbreviations that might not be familiar to you. To help you better understand these terms, we have provided the definitions below the table.</w:t>
      </w:r>
    </w:p>
    <w:p w:rsidR="00005992" w:rsidRDefault="000059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857"/>
        <w:gridCol w:w="702"/>
        <w:gridCol w:w="635"/>
        <w:gridCol w:w="468"/>
        <w:gridCol w:w="513"/>
        <w:gridCol w:w="724"/>
        <w:gridCol w:w="879"/>
        <w:gridCol w:w="2748"/>
      </w:tblGrid>
      <w:tr w:rsidR="00005992">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Typical Source</w:t>
            </w:r>
          </w:p>
        </w:tc>
      </w:tr>
      <w:tr w:rsidR="00005992">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r>
      <w:tr w:rsidR="00005992">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5992" w:rsidRDefault="00C55BD3">
            <w:pPr>
              <w:rPr>
                <w:rFonts w:eastAsia="Times New Roman"/>
                <w:b/>
                <w:bCs/>
                <w:sz w:val="20"/>
                <w:szCs w:val="20"/>
              </w:rPr>
            </w:pPr>
            <w:r>
              <w:rPr>
                <w:rFonts w:eastAsia="Times New Roman"/>
                <w:b/>
                <w:bCs/>
                <w:sz w:val="20"/>
                <w:szCs w:val="20"/>
              </w:rPr>
              <w:t>Inorganic Contaminants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Discharge of drilling wastes; Discharge from metal refineries; Erosion of natural deposits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Runoff from fertilizer use; Leaching from septic tanks, sewage; Erosion of natural deposits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81.47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Erosion of natural deposits; Leaching</w:t>
            </w:r>
          </w:p>
        </w:tc>
      </w:tr>
      <w:tr w:rsidR="00005992">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5992" w:rsidRDefault="00C55BD3">
            <w:pPr>
              <w:rPr>
                <w:rFonts w:eastAsia="Times New Roman"/>
                <w:b/>
                <w:bCs/>
                <w:sz w:val="20"/>
                <w:szCs w:val="20"/>
              </w:rPr>
            </w:pPr>
            <w:r>
              <w:rPr>
                <w:rFonts w:eastAsia="Times New Roman"/>
                <w:b/>
                <w:bCs/>
                <w:sz w:val="20"/>
                <w:szCs w:val="20"/>
              </w:rPr>
              <w:t>Microbiological Contaminants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Turbidity (NTU)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Soil runoff</w:t>
            </w:r>
          </w:p>
        </w:tc>
      </w:tr>
    </w:tbl>
    <w:p w:rsidR="00005992" w:rsidRDefault="00005992">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00"/>
        <w:gridCol w:w="713"/>
        <w:gridCol w:w="368"/>
        <w:gridCol w:w="635"/>
        <w:gridCol w:w="724"/>
        <w:gridCol w:w="1090"/>
        <w:gridCol w:w="901"/>
        <w:gridCol w:w="2713"/>
      </w:tblGrid>
      <w:tr w:rsidR="0000599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lastRenderedPageBreak/>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Typical Source</w:t>
            </w:r>
          </w:p>
        </w:tc>
      </w:tr>
      <w:tr w:rsidR="00005992">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5992" w:rsidRDefault="00C55BD3">
            <w:pPr>
              <w:rPr>
                <w:rFonts w:eastAsia="Times New Roman"/>
                <w:b/>
                <w:bCs/>
                <w:sz w:val="20"/>
                <w:szCs w:val="20"/>
              </w:rPr>
            </w:pPr>
            <w:r>
              <w:rPr>
                <w:rFonts w:eastAsia="Times New Roman"/>
                <w:b/>
                <w:bCs/>
                <w:sz w:val="20"/>
                <w:szCs w:val="20"/>
              </w:rPr>
              <w:t>Inorganic Contaminants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Corrosion of household plumbing systems; Erosion of natural deposits</w:t>
            </w:r>
          </w:p>
        </w:tc>
      </w:tr>
      <w:tr w:rsidR="00005992">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5992" w:rsidRDefault="00C55BD3">
            <w:pPr>
              <w:rPr>
                <w:rFonts w:eastAsia="Times New Roman"/>
                <w:b/>
                <w:bCs/>
                <w:sz w:val="20"/>
                <w:szCs w:val="20"/>
              </w:rPr>
            </w:pPr>
            <w:r>
              <w:rPr>
                <w:rFonts w:eastAsia="Times New Roman"/>
                <w:b/>
                <w:bCs/>
                <w:sz w:val="20"/>
                <w:szCs w:val="20"/>
              </w:rPr>
              <w:t>Inorganic Contaminants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Corrosion of household plumbing systems; Erosion of natural deposits</w:t>
            </w:r>
          </w:p>
        </w:tc>
      </w:tr>
    </w:tbl>
    <w:p w:rsidR="00005992" w:rsidRDefault="00005992">
      <w:pPr>
        <w:rPr>
          <w:rFonts w:eastAsia="Times New Roman"/>
        </w:rPr>
      </w:pPr>
    </w:p>
    <w:p w:rsidR="00005992" w:rsidRDefault="008070AF">
      <w:pPr>
        <w:jc w:val="center"/>
        <w:rPr>
          <w:rFonts w:eastAsia="Times New Roman"/>
        </w:rPr>
      </w:pPr>
      <w:r>
        <w:rPr>
          <w:rFonts w:eastAsia="Times New Roman"/>
        </w:rPr>
        <w:pict>
          <v:rect id="_x0000_i1025" style="width:.05pt;height:1.5pt" o:hralign="center" o:hrstd="t" o:hr="t" fillcolor="#a0a0a0" stroked="f"/>
        </w:pict>
      </w:r>
    </w:p>
    <w:p w:rsidR="00005992" w:rsidRDefault="00C55BD3">
      <w:pPr>
        <w:pStyle w:val="Heading3"/>
        <w:rPr>
          <w:rFonts w:eastAsia="Times New Roman"/>
        </w:rPr>
      </w:pPr>
      <w:r>
        <w:rPr>
          <w:rFonts w:eastAsia="Times New Roman"/>
        </w:rPr>
        <w:t>Undetected Contaminants</w:t>
      </w:r>
    </w:p>
    <w:p w:rsidR="00005992" w:rsidRDefault="00C55BD3">
      <w:pPr>
        <w:pStyle w:val="NormalWeb"/>
      </w:pPr>
      <w:r>
        <w:t>The following contaminants were monitored for, but not detected, in your water.</w:t>
      </w:r>
    </w:p>
    <w:p w:rsidR="00005992" w:rsidRDefault="000059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55"/>
        <w:gridCol w:w="857"/>
        <w:gridCol w:w="702"/>
        <w:gridCol w:w="635"/>
        <w:gridCol w:w="879"/>
        <w:gridCol w:w="4216"/>
      </w:tblGrid>
      <w:tr w:rsidR="0000599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Typical Source</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Copper - source water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Corrosion of household plumbing systems; Erosion of natural deposits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Lead - source water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Corrosion of household plumbing systems; Erosion of natural deposits</w:t>
            </w:r>
          </w:p>
        </w:tc>
      </w:tr>
    </w:tbl>
    <w:p w:rsidR="00005992" w:rsidRDefault="00005992">
      <w:pPr>
        <w:rPr>
          <w:rFonts w:eastAsia="Times New Roman"/>
        </w:rPr>
      </w:pPr>
    </w:p>
    <w:p w:rsidR="00005992" w:rsidRDefault="008070AF">
      <w:pPr>
        <w:pStyle w:val="Heading3"/>
        <w:rPr>
          <w:rFonts w:eastAsia="Times New Roman"/>
        </w:rPr>
      </w:pPr>
      <w:r>
        <w:rPr>
          <w:rFonts w:eastAsia="Times New Roman"/>
        </w:rPr>
        <w:t>Unregulated Contaminants</w:t>
      </w:r>
    </w:p>
    <w:p w:rsidR="00005992" w:rsidRDefault="00C55BD3" w:rsidP="008070AF">
      <w:pPr>
        <w:pStyle w:val="NormalWeb"/>
        <w:rPr>
          <w:rFonts w:eastAsia="Times New Roman"/>
        </w:rPr>
      </w:pPr>
      <w:r>
        <w:t>As part of an on-going evaluation program the EPA has required us to monitor some additional contaminants/chemicals. Information collected through the monitoring of these contaminants/chemicals will help to ensure that future decisions on drinking water standards are based on sound science.</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544"/>
        <w:gridCol w:w="2239"/>
        <w:gridCol w:w="745"/>
        <w:gridCol w:w="816"/>
      </w:tblGrid>
      <w:tr w:rsidR="00005992">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Name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Reported Level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Range</w:t>
            </w:r>
          </w:p>
        </w:tc>
      </w:tr>
      <w:tr w:rsidR="00005992">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5992" w:rsidRDefault="00005992">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jc w:val="center"/>
              <w:rPr>
                <w:rFonts w:eastAsia="Times New Roman"/>
                <w:b/>
                <w:bCs/>
                <w:sz w:val="20"/>
                <w:szCs w:val="20"/>
              </w:rPr>
            </w:pPr>
            <w:r>
              <w:rPr>
                <w:rFonts w:eastAsia="Times New Roman"/>
                <w:b/>
                <w:bCs/>
                <w:sz w:val="20"/>
                <w:szCs w:val="20"/>
              </w:rPr>
              <w:t>High</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chlorate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67.75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286</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chromium (total chromium)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.4</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chromium-6 (hexavalent chromium)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.24</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cobalt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1.6</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proofErr w:type="spellStart"/>
            <w:r>
              <w:rPr>
                <w:rFonts w:eastAsia="Times New Roman"/>
                <w:sz w:val="20"/>
                <w:szCs w:val="20"/>
              </w:rPr>
              <w:t>perfluorooctanoic</w:t>
            </w:r>
            <w:proofErr w:type="spellEnd"/>
            <w:r>
              <w:rPr>
                <w:rFonts w:eastAsia="Times New Roman"/>
                <w:sz w:val="20"/>
                <w:szCs w:val="20"/>
              </w:rPr>
              <w:t xml:space="preserve"> acid (PFOA)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00599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.042</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lastRenderedPageBreak/>
              <w:t>strontium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179.33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72.7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344</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vanadium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1.87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2.5</w:t>
            </w:r>
          </w:p>
        </w:tc>
      </w:tr>
    </w:tbl>
    <w:p w:rsidR="00005992" w:rsidRDefault="00005992">
      <w:pPr>
        <w:rPr>
          <w:rFonts w:eastAsia="Times New Roman"/>
        </w:rPr>
      </w:pPr>
    </w:p>
    <w:p w:rsidR="00005992" w:rsidRPr="008070AF" w:rsidRDefault="008070AF">
      <w:pPr>
        <w:jc w:val="center"/>
        <w:rPr>
          <w:rFonts w:ascii="Arial" w:eastAsia="Times New Roman" w:hAnsi="Arial" w:cs="Arial"/>
          <w:b/>
          <w:sz w:val="36"/>
          <w:szCs w:val="36"/>
        </w:rPr>
      </w:pPr>
      <w:r w:rsidRPr="008070AF">
        <w:rPr>
          <w:rFonts w:ascii="Arial" w:eastAsia="Times New Roman" w:hAnsi="Arial" w:cs="Arial"/>
          <w:b/>
          <w:sz w:val="36"/>
          <w:szCs w:val="36"/>
        </w:rPr>
        <w:t>Definitions</w:t>
      </w:r>
    </w:p>
    <w:p w:rsidR="008070AF" w:rsidRDefault="008070AF">
      <w:pPr>
        <w:jc w:val="cente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68"/>
        <w:gridCol w:w="8776"/>
      </w:tblGrid>
      <w:tr w:rsidR="00005992">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rPr>
                <w:rFonts w:eastAsia="Times New Roman"/>
                <w:b/>
                <w:bCs/>
                <w:sz w:val="20"/>
                <w:szCs w:val="20"/>
              </w:rPr>
            </w:pPr>
            <w:r>
              <w:rPr>
                <w:rFonts w:eastAsia="Times New Roman"/>
                <w:b/>
                <w:bCs/>
                <w:sz w:val="20"/>
                <w:szCs w:val="20"/>
              </w:rPr>
              <w:t>Unit Descriptions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b/>
                <w:bCs/>
                <w:sz w:val="20"/>
                <w:szCs w:val="20"/>
              </w:rPr>
              <w:t>Definition</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ppm: parts per million, or milligrams per liter (mg/L)</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ppb: parts per billion, or micrograms per liter (µg/L)</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NTU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 xml:space="preserve">NTU: </w:t>
            </w:r>
            <w:proofErr w:type="spellStart"/>
            <w:r>
              <w:rPr>
                <w:rFonts w:eastAsia="Times New Roman"/>
                <w:sz w:val="20"/>
                <w:szCs w:val="20"/>
              </w:rPr>
              <w:t>Nephelometric</w:t>
            </w:r>
            <w:proofErr w:type="spellEnd"/>
            <w:r>
              <w:rPr>
                <w:rFonts w:eastAsia="Times New Roman"/>
                <w:sz w:val="20"/>
                <w:szCs w:val="20"/>
              </w:rPr>
              <w:t xml:space="preserve"> Turbidity Units. Turbidity is a measure of the cloudiness of the water. We monitor it because it is a good indicator of the effectiveness of our filtration system.</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NA: not applicable</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ND: Not detected</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NR: Monitoring not required, but recommended.</w:t>
            </w:r>
          </w:p>
        </w:tc>
      </w:tr>
    </w:tbl>
    <w:p w:rsidR="00005992" w:rsidRDefault="000059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005992">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rPr>
                <w:rFonts w:eastAsia="Times New Roman"/>
                <w:b/>
                <w:bCs/>
                <w:sz w:val="20"/>
                <w:szCs w:val="20"/>
              </w:rPr>
            </w:pPr>
            <w:r>
              <w:rPr>
                <w:rFonts w:eastAsia="Times New Roman"/>
                <w:b/>
                <w:bCs/>
                <w:sz w:val="20"/>
                <w:szCs w:val="20"/>
              </w:rPr>
              <w:t>Important Drinking Water Definitions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b/>
                <w:bCs/>
                <w:sz w:val="20"/>
                <w:szCs w:val="20"/>
              </w:rPr>
            </w:pPr>
            <w:r>
              <w:rPr>
                <w:rFonts w:eastAsia="Times New Roman"/>
                <w:b/>
                <w:bCs/>
                <w:sz w:val="20"/>
                <w:szCs w:val="20"/>
              </w:rPr>
              <w:t>Definition</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MNR: Monitored Not Regulated</w:t>
            </w:r>
          </w:p>
        </w:tc>
      </w:tr>
      <w:tr w:rsidR="0000599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5992" w:rsidRDefault="00C55BD3">
            <w:pPr>
              <w:rPr>
                <w:rFonts w:eastAsia="Times New Roman"/>
                <w:sz w:val="20"/>
                <w:szCs w:val="20"/>
              </w:rPr>
            </w:pPr>
            <w:r>
              <w:rPr>
                <w:rFonts w:eastAsia="Times New Roman"/>
                <w:sz w:val="20"/>
                <w:szCs w:val="20"/>
              </w:rPr>
              <w:t>MPL: State Assigned Maximum Permissible Level</w:t>
            </w:r>
          </w:p>
        </w:tc>
      </w:tr>
    </w:tbl>
    <w:p w:rsidR="00005992" w:rsidRDefault="000059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00599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5992" w:rsidRDefault="00C55BD3">
            <w:pPr>
              <w:rPr>
                <w:rFonts w:eastAsia="Times New Roman"/>
                <w:b/>
                <w:bCs/>
                <w:sz w:val="20"/>
                <w:szCs w:val="20"/>
              </w:rPr>
            </w:pPr>
            <w:r>
              <w:rPr>
                <w:rFonts w:eastAsia="Times New Roman"/>
                <w:b/>
                <w:bCs/>
                <w:sz w:val="20"/>
                <w:szCs w:val="20"/>
              </w:rPr>
              <w:t xml:space="preserve">For more </w:t>
            </w:r>
            <w:proofErr w:type="gramStart"/>
            <w:r>
              <w:rPr>
                <w:rFonts w:eastAsia="Times New Roman"/>
                <w:b/>
                <w:bCs/>
                <w:sz w:val="20"/>
                <w:szCs w:val="20"/>
              </w:rPr>
              <w:t>information</w:t>
            </w:r>
            <w:proofErr w:type="gramEnd"/>
            <w:r>
              <w:rPr>
                <w:rFonts w:eastAsia="Times New Roman"/>
                <w:b/>
                <w:bCs/>
                <w:sz w:val="20"/>
                <w:szCs w:val="20"/>
              </w:rPr>
              <w:t xml:space="preserve"> please contact:</w:t>
            </w:r>
          </w:p>
        </w:tc>
      </w:tr>
    </w:tbl>
    <w:p w:rsidR="00005992" w:rsidRDefault="00C55BD3">
      <w:pPr>
        <w:pStyle w:val="NormalWeb"/>
      </w:pPr>
      <w:r>
        <w:t>Contact Name: Jill Lavoie</w:t>
      </w:r>
      <w:r>
        <w:br/>
        <w:t>Address: 2 Greens Pond Road</w:t>
      </w:r>
      <w:r>
        <w:br/>
      </w:r>
      <w:r>
        <w:lastRenderedPageBreak/>
        <w:t>Merrimack, NH 03054</w:t>
      </w:r>
      <w:r>
        <w:br/>
        <w:t>Phone: 603-424-9241</w:t>
      </w:r>
    </w:p>
    <w:sectPr w:rsidR="00005992" w:rsidSect="008070A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AF" w:rsidRDefault="008070AF" w:rsidP="008070AF">
      <w:r>
        <w:separator/>
      </w:r>
    </w:p>
  </w:endnote>
  <w:endnote w:type="continuationSeparator" w:id="0">
    <w:p w:rsidR="008070AF" w:rsidRDefault="008070AF" w:rsidP="0080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18072"/>
      <w:docPartObj>
        <w:docPartGallery w:val="Page Numbers (Bottom of Page)"/>
        <w:docPartUnique/>
      </w:docPartObj>
    </w:sdtPr>
    <w:sdtEndPr>
      <w:rPr>
        <w:noProof/>
      </w:rPr>
    </w:sdtEndPr>
    <w:sdtContent>
      <w:p w:rsidR="008070AF" w:rsidRDefault="008070A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070AF" w:rsidRDefault="0080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AF" w:rsidRDefault="008070AF" w:rsidP="008070AF">
      <w:r>
        <w:separator/>
      </w:r>
    </w:p>
  </w:footnote>
  <w:footnote w:type="continuationSeparator" w:id="0">
    <w:p w:rsidR="008070AF" w:rsidRDefault="008070AF" w:rsidP="00807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D3"/>
    <w:rsid w:val="00005992"/>
    <w:rsid w:val="008070AF"/>
    <w:rsid w:val="009E3471"/>
    <w:rsid w:val="00C5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95A0E"/>
  <w15:chartTrackingRefBased/>
  <w15:docId w15:val="{9496B6CC-E850-4CC6-BFBF-4BDD12F5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Subtitle">
    <w:name w:val="Subtitle"/>
    <w:basedOn w:val="Normal"/>
    <w:link w:val="SubtitleChar"/>
    <w:uiPriority w:val="99"/>
    <w:semiHidden/>
    <w:qFormat/>
    <w:pPr>
      <w:jc w:val="center"/>
    </w:pPr>
    <w:rPr>
      <w:rFonts w:eastAsia="Times New Roman"/>
      <w:b/>
      <w:bCs/>
    </w:rPr>
  </w:style>
  <w:style w:type="character" w:customStyle="1" w:styleId="SubtitleChar">
    <w:name w:val="Subtitle Char"/>
    <w:basedOn w:val="DefaultParagraphFont"/>
    <w:link w:val="Subtitle"/>
    <w:uiPriority w:val="99"/>
    <w:locked/>
    <w:rPr>
      <w:b/>
      <w:bCs/>
      <w:sz w:val="24"/>
      <w:szCs w:val="24"/>
    </w:rPr>
  </w:style>
  <w:style w:type="paragraph" w:customStyle="1" w:styleId="cellleft">
    <w:name w:val="cellleft"/>
    <w:basedOn w:val="Normal"/>
    <w:uiPriority w:val="99"/>
    <w:semiHidden/>
    <w:pPr>
      <w:spacing w:before="100" w:beforeAutospacing="1" w:after="100" w:afterAutospacing="1"/>
    </w:pPr>
  </w:style>
  <w:style w:type="paragraph" w:styleId="Header">
    <w:name w:val="header"/>
    <w:basedOn w:val="Normal"/>
    <w:link w:val="HeaderChar"/>
    <w:uiPriority w:val="99"/>
    <w:unhideWhenUsed/>
    <w:rsid w:val="008070AF"/>
    <w:pPr>
      <w:tabs>
        <w:tab w:val="center" w:pos="4680"/>
        <w:tab w:val="right" w:pos="9360"/>
      </w:tabs>
    </w:pPr>
  </w:style>
  <w:style w:type="character" w:customStyle="1" w:styleId="HeaderChar">
    <w:name w:val="Header Char"/>
    <w:basedOn w:val="DefaultParagraphFont"/>
    <w:link w:val="Header"/>
    <w:uiPriority w:val="99"/>
    <w:rsid w:val="008070AF"/>
    <w:rPr>
      <w:rFonts w:eastAsiaTheme="minorEastAsia"/>
      <w:sz w:val="24"/>
      <w:szCs w:val="24"/>
    </w:rPr>
  </w:style>
  <w:style w:type="paragraph" w:styleId="Footer">
    <w:name w:val="footer"/>
    <w:basedOn w:val="Normal"/>
    <w:link w:val="FooterChar"/>
    <w:uiPriority w:val="99"/>
    <w:unhideWhenUsed/>
    <w:rsid w:val="008070AF"/>
    <w:pPr>
      <w:tabs>
        <w:tab w:val="center" w:pos="4680"/>
        <w:tab w:val="right" w:pos="9360"/>
      </w:tabs>
    </w:pPr>
  </w:style>
  <w:style w:type="character" w:customStyle="1" w:styleId="FooterChar">
    <w:name w:val="Footer Char"/>
    <w:basedOn w:val="DefaultParagraphFont"/>
    <w:link w:val="Footer"/>
    <w:uiPriority w:val="99"/>
    <w:rsid w:val="008070A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nh.gov/organization/divisions/water/dwgb/dwspp/dwsap.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s.nh.gov/organization/divisions/water/dwgb/dwspp/reports/documents/merrimac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on.miner@mvdwater.org" TargetMode="External"/><Relationship Id="rId4" Type="http://schemas.openxmlformats.org/officeDocument/2006/relationships/footnotes" Target="footnotes.xml"/><Relationship Id="rId9" Type="http://schemas.openxmlformats.org/officeDocument/2006/relationships/hyperlink" Target="mailto:jill.lavoie@mv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Jill Lavoie</dc:creator>
  <cp:keywords/>
  <dc:description/>
  <cp:lastModifiedBy>Jill Lavoie</cp:lastModifiedBy>
  <cp:revision>4</cp:revision>
  <dcterms:created xsi:type="dcterms:W3CDTF">2016-04-29T20:21:00Z</dcterms:created>
  <dcterms:modified xsi:type="dcterms:W3CDTF">2016-04-29T20:31:00Z</dcterms:modified>
</cp:coreProperties>
</file>